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67" w:rsidRDefault="008F5167">
      <w:pPr>
        <w:spacing w:after="120" w:line="240" w:lineRule="auto"/>
        <w:jc w:val="both"/>
        <w:rPr>
          <w:b/>
          <w:sz w:val="24"/>
          <w:szCs w:val="24"/>
        </w:rPr>
      </w:pPr>
    </w:p>
    <w:p w:rsidR="008F5167" w:rsidRDefault="009C232A">
      <w:pPr>
        <w:spacing w:after="120" w:line="240" w:lineRule="auto"/>
        <w:jc w:val="both"/>
        <w:rPr>
          <w:b/>
          <w:sz w:val="24"/>
          <w:szCs w:val="24"/>
        </w:rPr>
      </w:pPr>
      <w:r>
        <w:rPr>
          <w:b/>
          <w:sz w:val="24"/>
          <w:szCs w:val="24"/>
        </w:rPr>
        <w:t>IL BOLLINO CALORE PULITO</w:t>
      </w:r>
    </w:p>
    <w:p w:rsidR="008F5167" w:rsidRDefault="008F5167">
      <w:pPr>
        <w:spacing w:after="120" w:line="240" w:lineRule="auto"/>
        <w:jc w:val="both"/>
        <w:rPr>
          <w:b/>
          <w:sz w:val="24"/>
          <w:szCs w:val="24"/>
        </w:rPr>
      </w:pPr>
    </w:p>
    <w:p w:rsidR="008F5167" w:rsidRDefault="009C232A">
      <w:pPr>
        <w:spacing w:after="120" w:line="240" w:lineRule="auto"/>
        <w:jc w:val="both"/>
        <w:rPr>
          <w:sz w:val="24"/>
          <w:szCs w:val="24"/>
        </w:rPr>
      </w:pPr>
      <w:r>
        <w:rPr>
          <w:sz w:val="24"/>
          <w:szCs w:val="24"/>
        </w:rPr>
        <w:t>In occasione della effettuazione del controllo di efficienza energetica, in tutti i casi sopra indicati, è obbligatoria la corresponsione da parte del responsabile dell'impianto del contributo cosiddetto “Bollino calore pulito</w:t>
      </w:r>
      <w:r>
        <w:rPr>
          <w:b/>
          <w:sz w:val="24"/>
          <w:szCs w:val="24"/>
        </w:rPr>
        <w:t xml:space="preserve">”: </w:t>
      </w:r>
      <w:r>
        <w:rPr>
          <w:sz w:val="24"/>
          <w:szCs w:val="24"/>
        </w:rPr>
        <w:t>i proventi di tale contributo saranno utilizzati</w:t>
      </w:r>
      <w:r>
        <w:rPr>
          <w:b/>
          <w:sz w:val="24"/>
          <w:szCs w:val="24"/>
        </w:rPr>
        <w:t xml:space="preserve"> </w:t>
      </w:r>
      <w:r>
        <w:rPr>
          <w:sz w:val="24"/>
          <w:szCs w:val="24"/>
        </w:rPr>
        <w:t xml:space="preserve">per garantire la copertura dei costi di gestione del Catasto degli impianti termici CRITER, per le iniziative di informazione e sensibilizzazione nonché per le attività di accertamento ed ispezione sugli </w:t>
      </w:r>
      <w:r>
        <w:rPr>
          <w:sz w:val="24"/>
          <w:szCs w:val="24"/>
        </w:rPr>
        <w:t>impianti stessi.</w:t>
      </w:r>
    </w:p>
    <w:p w:rsidR="008F5167" w:rsidRDefault="009C232A">
      <w:pPr>
        <w:spacing w:after="120" w:line="240" w:lineRule="auto"/>
        <w:jc w:val="both"/>
        <w:rPr>
          <w:sz w:val="24"/>
          <w:szCs w:val="24"/>
        </w:rPr>
      </w:pPr>
      <w:r>
        <w:rPr>
          <w:sz w:val="24"/>
          <w:szCs w:val="24"/>
        </w:rPr>
        <w:t>Il contributo è versato per il tramite delle aziende di manutenzione in occasione dell'invio del rapporto di controllo di efficienza energetica. Il contributo che è stato ridefinito a partire dal 1° ottobre 2022 è determinato secondo modal</w:t>
      </w:r>
      <w:r>
        <w:rPr>
          <w:sz w:val="24"/>
          <w:szCs w:val="24"/>
        </w:rPr>
        <w:t>ità uniformi su tutto il territorio regionale ed è diversificato in base alla potenza degli impianti, come indicato nella seguente tabella.</w:t>
      </w:r>
    </w:p>
    <w:p w:rsidR="008F5167" w:rsidRDefault="008F5167">
      <w:pPr>
        <w:spacing w:after="120" w:line="240" w:lineRule="auto"/>
        <w:jc w:val="both"/>
        <w:rPr>
          <w:sz w:val="24"/>
          <w:szCs w:val="24"/>
        </w:rPr>
      </w:pPr>
    </w:p>
    <w:tbl>
      <w:tblPr>
        <w:tblStyle w:val="a"/>
        <w:tblW w:w="54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68"/>
        <w:gridCol w:w="2410"/>
      </w:tblGrid>
      <w:tr w:rsidR="008F5167">
        <w:trPr>
          <w:jc w:val="center"/>
        </w:trPr>
        <w:tc>
          <w:tcPr>
            <w:tcW w:w="5478" w:type="dxa"/>
            <w:gridSpan w:val="2"/>
          </w:tcPr>
          <w:p w:rsidR="008F5167" w:rsidRDefault="009C232A">
            <w:pPr>
              <w:tabs>
                <w:tab w:val="left" w:pos="1025"/>
              </w:tabs>
              <w:spacing w:after="120" w:line="240" w:lineRule="auto"/>
              <w:jc w:val="center"/>
              <w:rPr>
                <w:b/>
                <w:sz w:val="20"/>
                <w:szCs w:val="20"/>
              </w:rPr>
            </w:pPr>
            <w:r>
              <w:rPr>
                <w:b/>
                <w:sz w:val="20"/>
                <w:szCs w:val="20"/>
              </w:rPr>
              <w:t>GENERATORI A FIAMMA (escluso biomassa legnosa)</w:t>
            </w:r>
          </w:p>
        </w:tc>
      </w:tr>
      <w:tr w:rsidR="008F5167">
        <w:trPr>
          <w:jc w:val="center"/>
        </w:trPr>
        <w:tc>
          <w:tcPr>
            <w:tcW w:w="3068" w:type="dxa"/>
          </w:tcPr>
          <w:p w:rsidR="008F5167" w:rsidRDefault="009C232A">
            <w:pPr>
              <w:tabs>
                <w:tab w:val="left" w:pos="1025"/>
              </w:tabs>
              <w:spacing w:after="120" w:line="240" w:lineRule="auto"/>
              <w:jc w:val="center"/>
              <w:rPr>
                <w:sz w:val="20"/>
                <w:szCs w:val="20"/>
              </w:rPr>
            </w:pPr>
            <w:r>
              <w:rPr>
                <w:sz w:val="20"/>
                <w:szCs w:val="20"/>
              </w:rPr>
              <w:t>Fascia di potenza (kW)</w:t>
            </w:r>
          </w:p>
        </w:tc>
        <w:tc>
          <w:tcPr>
            <w:tcW w:w="2410" w:type="dxa"/>
          </w:tcPr>
          <w:p w:rsidR="008F5167" w:rsidRDefault="009C232A">
            <w:pPr>
              <w:tabs>
                <w:tab w:val="left" w:pos="1025"/>
              </w:tabs>
              <w:spacing w:after="120" w:line="240" w:lineRule="auto"/>
              <w:jc w:val="center"/>
              <w:rPr>
                <w:sz w:val="20"/>
                <w:szCs w:val="20"/>
              </w:rPr>
            </w:pPr>
            <w:r>
              <w:rPr>
                <w:sz w:val="20"/>
                <w:szCs w:val="20"/>
              </w:rPr>
              <w:t>Contributo (euro)</w:t>
            </w:r>
          </w:p>
        </w:tc>
      </w:tr>
      <w:tr w:rsidR="008F5167">
        <w:trPr>
          <w:jc w:val="center"/>
        </w:trPr>
        <w:tc>
          <w:tcPr>
            <w:tcW w:w="3068" w:type="dxa"/>
          </w:tcPr>
          <w:p w:rsidR="008F5167" w:rsidRDefault="009C232A">
            <w:pPr>
              <w:tabs>
                <w:tab w:val="left" w:pos="1025"/>
              </w:tabs>
              <w:spacing w:after="120" w:line="240" w:lineRule="auto"/>
              <w:jc w:val="center"/>
              <w:rPr>
                <w:sz w:val="20"/>
                <w:szCs w:val="20"/>
              </w:rPr>
            </w:pPr>
            <w:r>
              <w:rPr>
                <w:sz w:val="20"/>
                <w:szCs w:val="20"/>
              </w:rPr>
              <w:t>P &lt; 35</w:t>
            </w:r>
          </w:p>
        </w:tc>
        <w:tc>
          <w:tcPr>
            <w:tcW w:w="2410" w:type="dxa"/>
          </w:tcPr>
          <w:p w:rsidR="008F5167" w:rsidRDefault="009C232A">
            <w:pPr>
              <w:tabs>
                <w:tab w:val="left" w:pos="1025"/>
              </w:tabs>
              <w:spacing w:after="120" w:line="240" w:lineRule="auto"/>
              <w:jc w:val="center"/>
              <w:rPr>
                <w:sz w:val="20"/>
                <w:szCs w:val="20"/>
              </w:rPr>
            </w:pPr>
            <w:r>
              <w:rPr>
                <w:sz w:val="20"/>
                <w:szCs w:val="20"/>
              </w:rPr>
              <w:t>1,75</w:t>
            </w:r>
          </w:p>
        </w:tc>
      </w:tr>
      <w:tr w:rsidR="008F5167">
        <w:trPr>
          <w:jc w:val="center"/>
        </w:trPr>
        <w:tc>
          <w:tcPr>
            <w:tcW w:w="3068" w:type="dxa"/>
          </w:tcPr>
          <w:p w:rsidR="008F5167" w:rsidRDefault="009C232A">
            <w:pPr>
              <w:tabs>
                <w:tab w:val="left" w:pos="1025"/>
              </w:tabs>
              <w:spacing w:after="120" w:line="240" w:lineRule="auto"/>
              <w:jc w:val="center"/>
              <w:rPr>
                <w:sz w:val="20"/>
                <w:szCs w:val="20"/>
              </w:rPr>
            </w:pPr>
            <w:r>
              <w:rPr>
                <w:sz w:val="20"/>
                <w:szCs w:val="20"/>
              </w:rPr>
              <w:t>35 ≤ P &lt; 100</w:t>
            </w:r>
          </w:p>
        </w:tc>
        <w:tc>
          <w:tcPr>
            <w:tcW w:w="2410" w:type="dxa"/>
          </w:tcPr>
          <w:p w:rsidR="008F5167" w:rsidRDefault="009C232A">
            <w:pPr>
              <w:tabs>
                <w:tab w:val="left" w:pos="1025"/>
              </w:tabs>
              <w:spacing w:after="120" w:line="240" w:lineRule="auto"/>
              <w:jc w:val="center"/>
              <w:rPr>
                <w:sz w:val="20"/>
                <w:szCs w:val="20"/>
              </w:rPr>
            </w:pPr>
            <w:r>
              <w:rPr>
                <w:sz w:val="20"/>
                <w:szCs w:val="20"/>
              </w:rPr>
              <w:t>7,00</w:t>
            </w:r>
          </w:p>
        </w:tc>
      </w:tr>
      <w:tr w:rsidR="008F5167">
        <w:trPr>
          <w:jc w:val="center"/>
        </w:trPr>
        <w:tc>
          <w:tcPr>
            <w:tcW w:w="3068" w:type="dxa"/>
          </w:tcPr>
          <w:p w:rsidR="008F5167" w:rsidRDefault="009C232A">
            <w:pPr>
              <w:tabs>
                <w:tab w:val="left" w:pos="1025"/>
              </w:tabs>
              <w:spacing w:after="120" w:line="240" w:lineRule="auto"/>
              <w:jc w:val="center"/>
              <w:rPr>
                <w:sz w:val="20"/>
                <w:szCs w:val="20"/>
              </w:rPr>
            </w:pPr>
            <w:r>
              <w:rPr>
                <w:sz w:val="20"/>
                <w:szCs w:val="20"/>
              </w:rPr>
              <w:t>100 ≤ P &lt; 300</w:t>
            </w:r>
          </w:p>
        </w:tc>
        <w:tc>
          <w:tcPr>
            <w:tcW w:w="2410" w:type="dxa"/>
          </w:tcPr>
          <w:p w:rsidR="008F5167" w:rsidRDefault="009C232A">
            <w:pPr>
              <w:tabs>
                <w:tab w:val="left" w:pos="1025"/>
              </w:tabs>
              <w:spacing w:after="120" w:line="240" w:lineRule="auto"/>
              <w:jc w:val="center"/>
              <w:rPr>
                <w:sz w:val="20"/>
                <w:szCs w:val="20"/>
              </w:rPr>
            </w:pPr>
            <w:r>
              <w:rPr>
                <w:sz w:val="20"/>
                <w:szCs w:val="20"/>
              </w:rPr>
              <w:t>14,00</w:t>
            </w:r>
          </w:p>
        </w:tc>
      </w:tr>
      <w:tr w:rsidR="008F5167">
        <w:trPr>
          <w:jc w:val="center"/>
        </w:trPr>
        <w:tc>
          <w:tcPr>
            <w:tcW w:w="3068" w:type="dxa"/>
          </w:tcPr>
          <w:p w:rsidR="008F5167" w:rsidRDefault="009C232A">
            <w:pPr>
              <w:tabs>
                <w:tab w:val="left" w:pos="1025"/>
              </w:tabs>
              <w:spacing w:after="120" w:line="240" w:lineRule="auto"/>
              <w:jc w:val="center"/>
              <w:rPr>
                <w:sz w:val="20"/>
                <w:szCs w:val="20"/>
              </w:rPr>
            </w:pPr>
            <w:r>
              <w:rPr>
                <w:sz w:val="20"/>
                <w:szCs w:val="20"/>
              </w:rPr>
              <w:t xml:space="preserve">P ≥ 300 </w:t>
            </w:r>
          </w:p>
        </w:tc>
        <w:tc>
          <w:tcPr>
            <w:tcW w:w="2410" w:type="dxa"/>
          </w:tcPr>
          <w:p w:rsidR="008F5167" w:rsidRDefault="009C232A">
            <w:pPr>
              <w:tabs>
                <w:tab w:val="left" w:pos="1025"/>
              </w:tabs>
              <w:spacing w:after="120" w:line="240" w:lineRule="auto"/>
              <w:jc w:val="center"/>
              <w:rPr>
                <w:sz w:val="20"/>
                <w:szCs w:val="20"/>
              </w:rPr>
            </w:pPr>
            <w:r>
              <w:rPr>
                <w:sz w:val="20"/>
                <w:szCs w:val="20"/>
              </w:rPr>
              <w:t>24,50</w:t>
            </w:r>
          </w:p>
        </w:tc>
      </w:tr>
      <w:tr w:rsidR="008F5167">
        <w:trPr>
          <w:jc w:val="center"/>
        </w:trPr>
        <w:tc>
          <w:tcPr>
            <w:tcW w:w="5478" w:type="dxa"/>
            <w:gridSpan w:val="2"/>
          </w:tcPr>
          <w:p w:rsidR="008F5167" w:rsidRDefault="009C232A">
            <w:pPr>
              <w:tabs>
                <w:tab w:val="left" w:pos="1025"/>
              </w:tabs>
              <w:spacing w:after="120" w:line="240" w:lineRule="auto"/>
              <w:jc w:val="center"/>
              <w:rPr>
                <w:b/>
                <w:sz w:val="20"/>
                <w:szCs w:val="20"/>
              </w:rPr>
            </w:pPr>
            <w:r>
              <w:rPr>
                <w:b/>
                <w:sz w:val="20"/>
                <w:szCs w:val="20"/>
              </w:rPr>
              <w:t>ALTRI GENERATORI: COGENERATORI</w:t>
            </w:r>
          </w:p>
        </w:tc>
      </w:tr>
      <w:tr w:rsidR="008F5167">
        <w:trPr>
          <w:jc w:val="center"/>
        </w:trPr>
        <w:tc>
          <w:tcPr>
            <w:tcW w:w="3068" w:type="dxa"/>
          </w:tcPr>
          <w:p w:rsidR="008F5167" w:rsidRDefault="009C232A">
            <w:pPr>
              <w:tabs>
                <w:tab w:val="left" w:pos="1025"/>
              </w:tabs>
              <w:spacing w:after="120" w:line="240" w:lineRule="auto"/>
              <w:jc w:val="center"/>
              <w:rPr>
                <w:sz w:val="20"/>
                <w:szCs w:val="20"/>
              </w:rPr>
            </w:pPr>
            <w:r>
              <w:rPr>
                <w:sz w:val="20"/>
                <w:szCs w:val="20"/>
              </w:rPr>
              <w:t>Fascia di potenza (kW)</w:t>
            </w:r>
          </w:p>
        </w:tc>
        <w:tc>
          <w:tcPr>
            <w:tcW w:w="2410" w:type="dxa"/>
          </w:tcPr>
          <w:p w:rsidR="008F5167" w:rsidRDefault="009C232A">
            <w:pPr>
              <w:tabs>
                <w:tab w:val="left" w:pos="1025"/>
              </w:tabs>
              <w:spacing w:after="120" w:line="240" w:lineRule="auto"/>
              <w:jc w:val="center"/>
              <w:rPr>
                <w:sz w:val="20"/>
                <w:szCs w:val="20"/>
              </w:rPr>
            </w:pPr>
            <w:r>
              <w:rPr>
                <w:sz w:val="20"/>
                <w:szCs w:val="20"/>
              </w:rPr>
              <w:t>Contributo (euro)</w:t>
            </w:r>
          </w:p>
        </w:tc>
      </w:tr>
      <w:tr w:rsidR="008F5167">
        <w:trPr>
          <w:jc w:val="center"/>
        </w:trPr>
        <w:tc>
          <w:tcPr>
            <w:tcW w:w="3068" w:type="dxa"/>
          </w:tcPr>
          <w:p w:rsidR="008F5167" w:rsidRDefault="009C232A">
            <w:pPr>
              <w:tabs>
                <w:tab w:val="left" w:pos="1025"/>
              </w:tabs>
              <w:spacing w:after="120" w:line="240" w:lineRule="auto"/>
              <w:jc w:val="center"/>
              <w:rPr>
                <w:sz w:val="20"/>
                <w:szCs w:val="20"/>
              </w:rPr>
            </w:pPr>
            <w:r>
              <w:rPr>
                <w:sz w:val="20"/>
                <w:szCs w:val="20"/>
              </w:rPr>
              <w:t>P &gt; 10</w:t>
            </w:r>
          </w:p>
        </w:tc>
        <w:tc>
          <w:tcPr>
            <w:tcW w:w="2410" w:type="dxa"/>
          </w:tcPr>
          <w:p w:rsidR="008F5167" w:rsidRDefault="009C232A">
            <w:pPr>
              <w:tabs>
                <w:tab w:val="left" w:pos="1025"/>
              </w:tabs>
              <w:spacing w:after="120" w:line="240" w:lineRule="auto"/>
              <w:jc w:val="center"/>
              <w:rPr>
                <w:sz w:val="20"/>
                <w:szCs w:val="20"/>
              </w:rPr>
            </w:pPr>
            <w:r>
              <w:rPr>
                <w:sz w:val="20"/>
                <w:szCs w:val="20"/>
              </w:rPr>
              <w:t>14,00</w:t>
            </w:r>
          </w:p>
        </w:tc>
      </w:tr>
    </w:tbl>
    <w:p w:rsidR="008F5167" w:rsidRDefault="008F5167">
      <w:pPr>
        <w:spacing w:after="120" w:line="240" w:lineRule="auto"/>
        <w:jc w:val="both"/>
      </w:pPr>
    </w:p>
    <w:p w:rsidR="008F5167" w:rsidRDefault="009C232A">
      <w:pPr>
        <w:spacing w:after="120" w:line="240" w:lineRule="auto"/>
        <w:jc w:val="both"/>
        <w:rPr>
          <w:sz w:val="24"/>
          <w:szCs w:val="24"/>
        </w:rPr>
      </w:pPr>
      <w:r>
        <w:rPr>
          <w:sz w:val="24"/>
          <w:szCs w:val="24"/>
        </w:rPr>
        <w:t>In attesa della pubblicazione delle pertinenti norme UNI per la misurazione in opera del rendimento di efficienza energetica, non sono soggetti al pagamento del contributo regionale "Bollino calore pulito" gli impianti costituiti da:</w:t>
      </w:r>
    </w:p>
    <w:p w:rsidR="008F5167" w:rsidRDefault="009C232A">
      <w:pPr>
        <w:numPr>
          <w:ilvl w:val="0"/>
          <w:numId w:val="1"/>
        </w:numPr>
        <w:spacing w:after="120" w:line="240" w:lineRule="auto"/>
        <w:rPr>
          <w:sz w:val="24"/>
          <w:szCs w:val="24"/>
        </w:rPr>
      </w:pPr>
      <w:r>
        <w:rPr>
          <w:sz w:val="24"/>
          <w:szCs w:val="24"/>
        </w:rPr>
        <w:t xml:space="preserve">apparecchi alimentati </w:t>
      </w:r>
      <w:r>
        <w:rPr>
          <w:sz w:val="24"/>
          <w:szCs w:val="24"/>
        </w:rPr>
        <w:t>con biomassa legnosa (</w:t>
      </w:r>
      <w:proofErr w:type="spellStart"/>
      <w:r>
        <w:rPr>
          <w:sz w:val="24"/>
          <w:szCs w:val="24"/>
        </w:rPr>
        <w:t>pellet</w:t>
      </w:r>
      <w:proofErr w:type="spellEnd"/>
      <w:r>
        <w:rPr>
          <w:sz w:val="24"/>
          <w:szCs w:val="24"/>
        </w:rPr>
        <w:t xml:space="preserve">, </w:t>
      </w:r>
      <w:proofErr w:type="spellStart"/>
      <w:r>
        <w:rPr>
          <w:sz w:val="24"/>
          <w:szCs w:val="24"/>
        </w:rPr>
        <w:t>cippato</w:t>
      </w:r>
      <w:proofErr w:type="spellEnd"/>
      <w:r>
        <w:rPr>
          <w:sz w:val="24"/>
          <w:szCs w:val="24"/>
        </w:rPr>
        <w:t>, etc.);</w:t>
      </w:r>
    </w:p>
    <w:p w:rsidR="008F5167" w:rsidRDefault="009C232A">
      <w:pPr>
        <w:numPr>
          <w:ilvl w:val="0"/>
          <w:numId w:val="1"/>
        </w:numPr>
        <w:spacing w:after="120" w:line="240" w:lineRule="auto"/>
        <w:rPr>
          <w:sz w:val="24"/>
          <w:szCs w:val="24"/>
        </w:rPr>
      </w:pPr>
      <w:r>
        <w:rPr>
          <w:sz w:val="24"/>
          <w:szCs w:val="24"/>
        </w:rPr>
        <w:t>macchine frigorifere e/o pompe di calore;</w:t>
      </w:r>
    </w:p>
    <w:p w:rsidR="008F5167" w:rsidRDefault="009C232A">
      <w:pPr>
        <w:numPr>
          <w:ilvl w:val="0"/>
          <w:numId w:val="1"/>
        </w:numPr>
        <w:spacing w:after="120" w:line="240" w:lineRule="auto"/>
        <w:rPr>
          <w:sz w:val="24"/>
          <w:szCs w:val="24"/>
        </w:rPr>
      </w:pPr>
      <w:r>
        <w:rPr>
          <w:sz w:val="24"/>
          <w:szCs w:val="24"/>
        </w:rPr>
        <w:t>sottostazioni di scambio termico allacciate a reti di teleriscaldamento.</w:t>
      </w:r>
    </w:p>
    <w:p w:rsidR="008F5167" w:rsidRDefault="008F5167"/>
    <w:sectPr w:rsidR="008F5167" w:rsidSect="008F5167">
      <w:headerReference w:type="default" r:id="rId8"/>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32A" w:rsidRDefault="009C232A" w:rsidP="008F5167">
      <w:pPr>
        <w:spacing w:after="0" w:line="240" w:lineRule="auto"/>
      </w:pPr>
      <w:r>
        <w:separator/>
      </w:r>
    </w:p>
  </w:endnote>
  <w:endnote w:type="continuationSeparator" w:id="0">
    <w:p w:rsidR="009C232A" w:rsidRDefault="009C232A" w:rsidP="008F5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32A" w:rsidRDefault="009C232A" w:rsidP="008F5167">
      <w:pPr>
        <w:spacing w:after="0" w:line="240" w:lineRule="auto"/>
      </w:pPr>
      <w:r>
        <w:separator/>
      </w:r>
    </w:p>
  </w:footnote>
  <w:footnote w:type="continuationSeparator" w:id="0">
    <w:p w:rsidR="009C232A" w:rsidRDefault="009C232A" w:rsidP="008F51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67" w:rsidRDefault="009C232A">
    <w:r>
      <w:rPr>
        <w:noProof/>
      </w:rPr>
      <w:drawing>
        <wp:anchor distT="114300" distB="114300" distL="114300" distR="114300" simplePos="0" relativeHeight="251658240" behindDoc="0" locked="0" layoutInCell="1" allowOverlap="1">
          <wp:simplePos x="0" y="0"/>
          <wp:positionH relativeFrom="column">
            <wp:posOffset>-619124</wp:posOffset>
          </wp:positionH>
          <wp:positionV relativeFrom="paragraph">
            <wp:posOffset>-333374</wp:posOffset>
          </wp:positionV>
          <wp:extent cx="1398721" cy="61245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98721" cy="612458"/>
                  </a:xfrm>
                  <a:prstGeom prst="rect">
                    <a:avLst/>
                  </a:prstGeom>
                  <a:ln/>
                </pic:spPr>
              </pic:pic>
            </a:graphicData>
          </a:graphic>
        </wp:anchor>
      </w:drawing>
    </w:r>
    <w:r>
      <w:rPr>
        <w:noProof/>
      </w:rPr>
      <w:drawing>
        <wp:anchor distT="114300" distB="114300" distL="114300" distR="114300" simplePos="0" relativeHeight="251659264" behindDoc="1" locked="0" layoutInCell="1" allowOverlap="1">
          <wp:simplePos x="0" y="0"/>
          <wp:positionH relativeFrom="column">
            <wp:posOffset>4533900</wp:posOffset>
          </wp:positionH>
          <wp:positionV relativeFrom="paragraph">
            <wp:posOffset>-314324</wp:posOffset>
          </wp:positionV>
          <wp:extent cx="2191703" cy="4236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91703" cy="42367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30721"/>
    <w:multiLevelType w:val="multilevel"/>
    <w:tmpl w:val="70224BCC"/>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8F5167"/>
    <w:rsid w:val="00336413"/>
    <w:rsid w:val="008F5167"/>
    <w:rsid w:val="009C23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239"/>
  </w:style>
  <w:style w:type="paragraph" w:styleId="Titolo1">
    <w:name w:val="heading 1"/>
    <w:basedOn w:val="normal"/>
    <w:next w:val="normal"/>
    <w:rsid w:val="008F5167"/>
    <w:pPr>
      <w:keepNext/>
      <w:keepLines/>
      <w:spacing w:before="480" w:after="120"/>
      <w:outlineLvl w:val="0"/>
    </w:pPr>
    <w:rPr>
      <w:b/>
      <w:sz w:val="48"/>
      <w:szCs w:val="48"/>
    </w:rPr>
  </w:style>
  <w:style w:type="paragraph" w:styleId="Titolo2">
    <w:name w:val="heading 2"/>
    <w:basedOn w:val="normal"/>
    <w:next w:val="normal"/>
    <w:rsid w:val="008F5167"/>
    <w:pPr>
      <w:keepNext/>
      <w:keepLines/>
      <w:spacing w:before="360" w:after="80"/>
      <w:outlineLvl w:val="1"/>
    </w:pPr>
    <w:rPr>
      <w:b/>
      <w:sz w:val="36"/>
      <w:szCs w:val="36"/>
    </w:rPr>
  </w:style>
  <w:style w:type="paragraph" w:styleId="Titolo3">
    <w:name w:val="heading 3"/>
    <w:basedOn w:val="normal"/>
    <w:next w:val="normal"/>
    <w:rsid w:val="008F5167"/>
    <w:pPr>
      <w:keepNext/>
      <w:keepLines/>
      <w:spacing w:before="280" w:after="80"/>
      <w:outlineLvl w:val="2"/>
    </w:pPr>
    <w:rPr>
      <w:b/>
      <w:sz w:val="28"/>
      <w:szCs w:val="28"/>
    </w:rPr>
  </w:style>
  <w:style w:type="paragraph" w:styleId="Titolo4">
    <w:name w:val="heading 4"/>
    <w:basedOn w:val="normal"/>
    <w:next w:val="normal"/>
    <w:rsid w:val="008F5167"/>
    <w:pPr>
      <w:keepNext/>
      <w:keepLines/>
      <w:spacing w:before="240" w:after="40"/>
      <w:outlineLvl w:val="3"/>
    </w:pPr>
    <w:rPr>
      <w:b/>
      <w:sz w:val="24"/>
      <w:szCs w:val="24"/>
    </w:rPr>
  </w:style>
  <w:style w:type="paragraph" w:styleId="Titolo5">
    <w:name w:val="heading 5"/>
    <w:basedOn w:val="normal"/>
    <w:next w:val="normal"/>
    <w:rsid w:val="008F5167"/>
    <w:pPr>
      <w:keepNext/>
      <w:keepLines/>
      <w:spacing w:before="220" w:after="40"/>
      <w:outlineLvl w:val="4"/>
    </w:pPr>
    <w:rPr>
      <w:b/>
    </w:rPr>
  </w:style>
  <w:style w:type="paragraph" w:styleId="Titolo6">
    <w:name w:val="heading 6"/>
    <w:basedOn w:val="normal"/>
    <w:next w:val="normal"/>
    <w:rsid w:val="008F516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F5167"/>
  </w:style>
  <w:style w:type="table" w:customStyle="1" w:styleId="TableNormal">
    <w:name w:val="Table Normal"/>
    <w:rsid w:val="008F5167"/>
    <w:tblPr>
      <w:tblCellMar>
        <w:top w:w="0" w:type="dxa"/>
        <w:left w:w="0" w:type="dxa"/>
        <w:bottom w:w="0" w:type="dxa"/>
        <w:right w:w="0" w:type="dxa"/>
      </w:tblCellMar>
    </w:tblPr>
  </w:style>
  <w:style w:type="paragraph" w:styleId="Titolo">
    <w:name w:val="Title"/>
    <w:basedOn w:val="normal"/>
    <w:next w:val="normal"/>
    <w:rsid w:val="008F5167"/>
    <w:pPr>
      <w:keepNext/>
      <w:keepLines/>
      <w:spacing w:before="480" w:after="120"/>
    </w:pPr>
    <w:rPr>
      <w:b/>
      <w:sz w:val="72"/>
      <w:szCs w:val="72"/>
    </w:rPr>
  </w:style>
  <w:style w:type="table" w:styleId="Grigliatabella">
    <w:name w:val="Table Grid"/>
    <w:basedOn w:val="Tabellanormale"/>
    <w:uiPriority w:val="39"/>
    <w:rsid w:val="008D4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
    <w:next w:val="normal"/>
    <w:rsid w:val="008F5167"/>
    <w:pPr>
      <w:keepNext/>
      <w:keepLines/>
      <w:spacing w:before="360" w:after="80"/>
    </w:pPr>
    <w:rPr>
      <w:rFonts w:ascii="Georgia" w:eastAsia="Georgia" w:hAnsi="Georgia" w:cs="Georgia"/>
      <w:i/>
      <w:color w:val="666666"/>
      <w:sz w:val="48"/>
      <w:szCs w:val="48"/>
    </w:rPr>
  </w:style>
  <w:style w:type="table" w:customStyle="1" w:styleId="a">
    <w:basedOn w:val="TableNormal"/>
    <w:rsid w:val="008F5167"/>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3ohk7vKNJVzDeUqw37jf+btshw==">AMUW2mXY3s2GsGLycCENPDwhQQ06CpaxpHZBnjKL0x2Ffiih9NPpQ7H965xw8LyHDykFdYOz3isqkVnwVGaSrZksBzN4oMJvh1dwv7C6KVt9kSIV9RTtxAM=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Aster S. Cons. P. A.</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Negro Valerio</dc:creator>
  <cp:lastModifiedBy>dfacchin</cp:lastModifiedBy>
  <cp:revision>2</cp:revision>
  <dcterms:created xsi:type="dcterms:W3CDTF">2022-11-10T12:01:00Z</dcterms:created>
  <dcterms:modified xsi:type="dcterms:W3CDTF">2022-11-10T12:01:00Z</dcterms:modified>
</cp:coreProperties>
</file>